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2A0BED" w:rsidTr="002628FB">
        <w:tc>
          <w:tcPr>
            <w:tcW w:w="3190" w:type="dxa"/>
          </w:tcPr>
          <w:p w:rsidR="002A0BED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Утверждено на методическом совете ГБУСО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«СШОР «НГ»</w:t>
            </w:r>
          </w:p>
          <w:p w:rsidR="0017435E" w:rsidRPr="0017435E" w:rsidRDefault="0017435E" w:rsidP="0017435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«____» ___________ 2019 г.</w:t>
            </w:r>
          </w:p>
        </w:tc>
        <w:tc>
          <w:tcPr>
            <w:tcW w:w="2447" w:type="dxa"/>
          </w:tcPr>
          <w:p w:rsidR="002A0BED" w:rsidRPr="006E73BC" w:rsidRDefault="002A0BED" w:rsidP="001743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2A0BED" w:rsidRPr="002628FB" w:rsidRDefault="002A0BED" w:rsidP="002628F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2A0BED" w:rsidRPr="002628FB" w:rsidRDefault="002A0BED" w:rsidP="002628F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ГБУСО «Спортивная школа олимпийского резерва «Надежда Губернии»</w:t>
            </w:r>
          </w:p>
          <w:p w:rsidR="002A0BED" w:rsidRPr="002628FB" w:rsidRDefault="002A0BED" w:rsidP="002628F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________________М.А. Даниленко</w:t>
            </w:r>
          </w:p>
          <w:p w:rsidR="002A0BED" w:rsidRPr="002628FB" w:rsidRDefault="002628FB" w:rsidP="002628F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Пр. № ___</w:t>
            </w:r>
            <w:r w:rsidR="002A0BED"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_от «_</w:t>
            </w:r>
            <w:r w:rsidR="002A0BED"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 xml:space="preserve">__»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</w:t>
            </w:r>
            <w:r w:rsidR="002A0BED" w:rsidRPr="002628F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2019г. </w:t>
            </w:r>
          </w:p>
        </w:tc>
      </w:tr>
    </w:tbl>
    <w:p w:rsidR="00DB5D83" w:rsidRDefault="00DB5D83" w:rsidP="0017435E">
      <w:pPr>
        <w:jc w:val="both"/>
      </w:pPr>
    </w:p>
    <w:p w:rsidR="002A0BED" w:rsidRDefault="002A0BED" w:rsidP="0017435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2A0BED" w:rsidRDefault="002A0BED" w:rsidP="0017435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пром</w:t>
      </w:r>
      <w:r w:rsidR="00A52BC7">
        <w:rPr>
          <w:b/>
          <w:bCs/>
          <w:color w:val="auto"/>
          <w:sz w:val="28"/>
          <w:szCs w:val="28"/>
        </w:rPr>
        <w:t xml:space="preserve">ежуточной и итоговой аттестации лиц, проходящих спортивную подготовку в </w:t>
      </w:r>
      <w:r>
        <w:rPr>
          <w:b/>
          <w:bCs/>
          <w:color w:val="auto"/>
          <w:sz w:val="28"/>
          <w:szCs w:val="28"/>
        </w:rPr>
        <w:t>ГБУСО «Спортивная школа олимпийского резерва «Надежда Губернии»</w:t>
      </w:r>
    </w:p>
    <w:p w:rsidR="002A0BED" w:rsidRDefault="002A0BED" w:rsidP="0017435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A0BED" w:rsidRDefault="002A0BED" w:rsidP="0017435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1.0бщие положения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</w:p>
    <w:p w:rsidR="002A0BED" w:rsidRDefault="002A0BED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о </w:t>
      </w:r>
      <w:r w:rsidR="0017435E">
        <w:rPr>
          <w:color w:val="auto"/>
          <w:sz w:val="28"/>
          <w:szCs w:val="28"/>
        </w:rPr>
        <w:t xml:space="preserve">промежуточной </w:t>
      </w:r>
      <w:r>
        <w:rPr>
          <w:color w:val="auto"/>
          <w:sz w:val="28"/>
          <w:szCs w:val="28"/>
        </w:rPr>
        <w:t xml:space="preserve">и итоговой аттестации спортсменов </w:t>
      </w:r>
      <w:r w:rsidR="0017435E">
        <w:rPr>
          <w:color w:val="auto"/>
          <w:sz w:val="28"/>
          <w:szCs w:val="28"/>
        </w:rPr>
        <w:t>ГБУСО «Спортивная школа олимпийского резерва «Надежда Губернии»</w:t>
      </w:r>
      <w:r>
        <w:rPr>
          <w:color w:val="auto"/>
          <w:sz w:val="28"/>
          <w:szCs w:val="28"/>
        </w:rPr>
        <w:t xml:space="preserve"> (далее — </w:t>
      </w:r>
      <w:r w:rsidR="0017435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чреждение) разработано в соответствии с Федеральными стандартами спортивной подготовки по видам спорта, Уставом учреждения, Федерального закона от 04.12.2007 N 329-ФЗ "О физической культуре и спорте в Российской Федерации", Программами спортивной подготовки по видам спорта и регламентирует содержание и порядок промежуточной и итоговой аттестации спортсменов и их перевод по итогам года на следующий этап (период) прохождения спортивной подготовки.</w:t>
      </w:r>
    </w:p>
    <w:p w:rsidR="002A0BED" w:rsidRDefault="002A0BED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Критерием освоения Программы спортивной подготовки по видам спорта, качества тренированности спортсменов являются результаты выполнения контрольно-переводных нормативов на каждом этапе спортивной подготовки.</w:t>
      </w:r>
    </w:p>
    <w:p w:rsidR="002A0BED" w:rsidRDefault="002A0BED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Виды аттестации спортсменов: промежуточная и итоговая.</w:t>
      </w:r>
    </w:p>
    <w:p w:rsidR="0017435E" w:rsidRDefault="002A0BED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Промежуточная аттестация проводится в середине тренировочного года с целью отслеживания уровня подготовленности спортсменов и контроля за эффективностью тренировочного процесса. </w:t>
      </w:r>
    </w:p>
    <w:p w:rsidR="002A0BED" w:rsidRDefault="002A0BED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Итоговая аттестация проводится по итогам тренировочного года для перевода спортсмена на следующий год тренировок, на каждом из этапов спортивной подготовки.</w:t>
      </w:r>
    </w:p>
    <w:p w:rsidR="0017435E" w:rsidRDefault="0017435E" w:rsidP="0017435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A0BED" w:rsidRDefault="002A0BED" w:rsidP="0017435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задачи промежуточной аттестации</w:t>
      </w:r>
    </w:p>
    <w:p w:rsidR="0017435E" w:rsidRDefault="0017435E" w:rsidP="0017435E">
      <w:pPr>
        <w:pStyle w:val="Default"/>
        <w:jc w:val="center"/>
        <w:rPr>
          <w:color w:val="auto"/>
          <w:sz w:val="28"/>
          <w:szCs w:val="28"/>
        </w:rPr>
      </w:pP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Основные задачи проведения промежуточной (итоговой) аттестации: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упорядочение контроля над тренировочным процессом;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ответственности каждого тренера за результаты работы, степени освоения спортсменами Программ спортивной подготовки по видам спорта в рамках тренировочного года;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стимулирование целенаправленного, непрерывного повышения уровня профессиональной подготовки спортсменов;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учёт подготовленности и динамики прироста индивидуальных показателей спортсменов;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выявление уровня развития двигательных качеств;</w:t>
      </w:r>
    </w:p>
    <w:p w:rsidR="002A0BED" w:rsidRDefault="002A0BED" w:rsidP="0017435E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- выявление уровня овладения техническими навыками;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спортсменов на следующий год или этап тренировок спортивной 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подготовки; 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выявление на основе анализа необходимости корректировки </w:t>
      </w:r>
      <w:r w:rsidR="0017435E">
        <w:rPr>
          <w:color w:val="auto"/>
          <w:sz w:val="28"/>
          <w:szCs w:val="28"/>
        </w:rPr>
        <w:t xml:space="preserve">спортивных </w:t>
      </w:r>
      <w:r>
        <w:rPr>
          <w:color w:val="auto"/>
          <w:sz w:val="28"/>
          <w:szCs w:val="28"/>
        </w:rPr>
        <w:t>программ</w:t>
      </w:r>
      <w:r w:rsidR="0017435E">
        <w:rPr>
          <w:color w:val="auto"/>
          <w:sz w:val="28"/>
          <w:szCs w:val="28"/>
        </w:rPr>
        <w:t xml:space="preserve"> по видам спорта</w:t>
      </w:r>
      <w:r>
        <w:rPr>
          <w:color w:val="auto"/>
          <w:sz w:val="28"/>
          <w:szCs w:val="28"/>
        </w:rPr>
        <w:t>, культивируемы</w:t>
      </w:r>
      <w:r w:rsidR="0017435E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в </w:t>
      </w:r>
      <w:r w:rsidR="0017435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чреждении. </w:t>
      </w:r>
    </w:p>
    <w:p w:rsidR="0017435E" w:rsidRDefault="0017435E" w:rsidP="0017435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A0BED" w:rsidRDefault="002A0BED" w:rsidP="0017435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Форма, порядок и периодичность проведения аттестации</w:t>
      </w:r>
    </w:p>
    <w:p w:rsidR="0017435E" w:rsidRDefault="0017435E" w:rsidP="0017435E">
      <w:pPr>
        <w:pStyle w:val="Default"/>
        <w:jc w:val="center"/>
        <w:rPr>
          <w:color w:val="auto"/>
          <w:sz w:val="28"/>
          <w:szCs w:val="28"/>
        </w:rPr>
      </w:pP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Формы, порядок, условия проведения аттестации спортсменов определяются годовыми тренировочными планами и программами</w:t>
      </w:r>
      <w:r w:rsidR="0017435E">
        <w:rPr>
          <w:color w:val="auto"/>
          <w:sz w:val="28"/>
          <w:szCs w:val="28"/>
        </w:rPr>
        <w:t xml:space="preserve"> спортивной подготовки по видам спорта</w:t>
      </w:r>
      <w:r>
        <w:rPr>
          <w:color w:val="auto"/>
          <w:sz w:val="28"/>
          <w:szCs w:val="28"/>
        </w:rPr>
        <w:t xml:space="preserve">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Промежуточная </w:t>
      </w:r>
      <w:r w:rsidR="00140387">
        <w:rPr>
          <w:color w:val="auto"/>
          <w:sz w:val="28"/>
          <w:szCs w:val="28"/>
        </w:rPr>
        <w:t xml:space="preserve">(итоговая) </w:t>
      </w:r>
      <w:r>
        <w:rPr>
          <w:color w:val="auto"/>
          <w:sz w:val="28"/>
          <w:szCs w:val="28"/>
        </w:rPr>
        <w:t xml:space="preserve">аттестация проводится в форме сдачи контрольных нормативов по общей и специальной физической подготовке.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3.</w:t>
      </w:r>
      <w:r w:rsidR="00140387">
        <w:rPr>
          <w:color w:val="auto"/>
          <w:sz w:val="27"/>
          <w:szCs w:val="27"/>
        </w:rPr>
        <w:t>3</w:t>
      </w:r>
      <w:r>
        <w:rPr>
          <w:color w:val="auto"/>
          <w:sz w:val="27"/>
          <w:szCs w:val="27"/>
        </w:rPr>
        <w:t xml:space="preserve">. Содержание промежуточной и итоговой аттестации должно соответствовать целям и задачам Программ спортивной подготовки, выявлять уровень подготовки спортсменов, владение практическими умениями и навыками, необходимыми для усвоения Программы подготовки, уровень развития спортивных способностей.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Спортсмены, освоившие в полном объёме Программу спортивной подготовки по виду спорта текущего года и выполнившие все тесты контрольно</w:t>
      </w:r>
      <w:r w:rsidR="00140387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переводных нормативов, переводятся на следующий год или этап спортивной подготовки.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Если на одном из этапов (периодов) спортивной подготовки результаты прохождения спортивной подготовки не соответствуют требованиям Программы спортивной подготовки, перевод на следующий этап (период) спортивной подготовки не допускается.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Спортсменам, которые не выполнили предъявляемые Программой спортивной подготовки требования, может предоставляться возможность продолжить спортивную подготовку на том же этапе (периоде) спортивной подготовки в порядке, предусмотренном Уставом учреждения, осуществляющей спортивную подготовку. Такие спортсмены могут решением Тренерского совета продолжать спортивную подготовку повторно, но не более одного раза на данном этапе (периоде) или переводиться на </w:t>
      </w:r>
      <w:r w:rsidR="00140387">
        <w:rPr>
          <w:color w:val="auto"/>
          <w:sz w:val="28"/>
          <w:szCs w:val="28"/>
        </w:rPr>
        <w:t>подготовку на договорной основе (по договорам возмездного оказания услуг);</w:t>
      </w:r>
      <w:r>
        <w:rPr>
          <w:color w:val="auto"/>
          <w:sz w:val="28"/>
          <w:szCs w:val="28"/>
        </w:rPr>
        <w:t xml:space="preserve">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Отдельные спортсмены, проходящие спортивную подготовку, не достигшие установленного возраста для перевода на следующий этап подготовки, в исключительных случаях могут быть переведены раньше срока на основании решения Тренерского совета при персональном разрешении врача.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Спортсмены, не сдавшие по причине болезни контрольно-переводные испытания, на основании решения Тренерского совета, при </w:t>
      </w:r>
      <w:r>
        <w:rPr>
          <w:color w:val="auto"/>
          <w:sz w:val="28"/>
          <w:szCs w:val="28"/>
        </w:rPr>
        <w:lastRenderedPageBreak/>
        <w:t xml:space="preserve">наличии медицинской справки могут </w:t>
      </w:r>
      <w:r w:rsidR="00140387">
        <w:rPr>
          <w:color w:val="auto"/>
          <w:sz w:val="28"/>
          <w:szCs w:val="28"/>
        </w:rPr>
        <w:t>быть допущены до сдачи нормативов в индивидуальном порядке</w:t>
      </w:r>
      <w:r>
        <w:rPr>
          <w:color w:val="auto"/>
          <w:sz w:val="28"/>
          <w:szCs w:val="28"/>
        </w:rPr>
        <w:t xml:space="preserve">. 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140387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 Спортсмены, пропустившие по независящим от них обстоятельствам 2/3 тренировочн</w:t>
      </w:r>
      <w:r w:rsidR="00140387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</w:t>
      </w:r>
      <w:r w:rsidR="00140387">
        <w:rPr>
          <w:color w:val="auto"/>
          <w:sz w:val="28"/>
          <w:szCs w:val="28"/>
        </w:rPr>
        <w:t>занятий</w:t>
      </w:r>
      <w:r>
        <w:rPr>
          <w:color w:val="auto"/>
          <w:sz w:val="28"/>
          <w:szCs w:val="28"/>
        </w:rPr>
        <w:t>, не аттестуются. Вопрос об аттестации таких</w:t>
      </w:r>
      <w:r w:rsidR="001403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спортсменов решается в индивидуальном порядке директором учреждения по согласованию с родителями (законными представителями) спортсмена. </w:t>
      </w:r>
    </w:p>
    <w:p w:rsidR="00140387" w:rsidRDefault="00140387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A0BED" w:rsidRDefault="002A0BED" w:rsidP="0014038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Организация и проведение промежуточной и итоговой аттестации</w:t>
      </w:r>
    </w:p>
    <w:p w:rsidR="00140387" w:rsidRDefault="00140387" w:rsidP="00140387">
      <w:pPr>
        <w:pStyle w:val="Default"/>
        <w:jc w:val="center"/>
        <w:rPr>
          <w:color w:val="auto"/>
          <w:sz w:val="28"/>
          <w:szCs w:val="28"/>
        </w:rPr>
      </w:pP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Промежуточная и итоговая аттестация</w:t>
      </w:r>
      <w:r w:rsidR="00140387">
        <w:rPr>
          <w:color w:val="auto"/>
          <w:sz w:val="28"/>
          <w:szCs w:val="28"/>
        </w:rPr>
        <w:t xml:space="preserve"> осуществляется </w:t>
      </w:r>
      <w:r w:rsidR="005331D4">
        <w:rPr>
          <w:color w:val="auto"/>
          <w:sz w:val="28"/>
          <w:szCs w:val="28"/>
        </w:rPr>
        <w:t>два раза в год</w:t>
      </w:r>
      <w:r w:rsidR="00140387">
        <w:rPr>
          <w:color w:val="auto"/>
          <w:sz w:val="28"/>
          <w:szCs w:val="28"/>
        </w:rPr>
        <w:t>;</w:t>
      </w:r>
    </w:p>
    <w:p w:rsidR="005331D4" w:rsidRDefault="005331D4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Промежуточная аттестация проводится  в середине года (апрель-май), итоговая аттестация проводится в конце года (октябрь-декабрь);</w:t>
      </w:r>
    </w:p>
    <w:p w:rsidR="002A0BED" w:rsidRDefault="002A0BED" w:rsidP="001403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331D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Для проведения промежуточной (итоговой) аттестации</w:t>
      </w:r>
      <w:r w:rsidR="00201119">
        <w:rPr>
          <w:color w:val="auto"/>
          <w:sz w:val="28"/>
          <w:szCs w:val="28"/>
        </w:rPr>
        <w:t xml:space="preserve"> по спортивной подготовке</w:t>
      </w:r>
      <w:r>
        <w:rPr>
          <w:color w:val="auto"/>
          <w:sz w:val="28"/>
          <w:szCs w:val="28"/>
        </w:rPr>
        <w:t xml:space="preserve"> в учреждении приказом директора </w:t>
      </w:r>
      <w:r w:rsidR="000400CD">
        <w:rPr>
          <w:color w:val="auto"/>
          <w:sz w:val="28"/>
          <w:szCs w:val="28"/>
        </w:rPr>
        <w:t>утверждается</w:t>
      </w:r>
      <w:r>
        <w:rPr>
          <w:color w:val="auto"/>
          <w:sz w:val="28"/>
          <w:szCs w:val="28"/>
        </w:rPr>
        <w:t xml:space="preserve"> комиссия</w:t>
      </w:r>
      <w:r w:rsidR="005331D4">
        <w:rPr>
          <w:color w:val="auto"/>
          <w:sz w:val="28"/>
          <w:szCs w:val="28"/>
        </w:rPr>
        <w:t>, в которую входит тренер (в.т.ч. старший тренер) по виду спорта, инструктор-методист (старший)</w:t>
      </w:r>
      <w:r w:rsidR="00201119">
        <w:rPr>
          <w:color w:val="auto"/>
          <w:sz w:val="28"/>
          <w:szCs w:val="28"/>
        </w:rPr>
        <w:t>,</w:t>
      </w:r>
      <w:r w:rsidR="005331D4">
        <w:rPr>
          <w:color w:val="auto"/>
          <w:sz w:val="28"/>
          <w:szCs w:val="28"/>
        </w:rPr>
        <w:t xml:space="preserve"> представители администрации спортивной школы, </w:t>
      </w:r>
      <w:r w:rsidR="00140387">
        <w:rPr>
          <w:color w:val="auto"/>
          <w:sz w:val="28"/>
          <w:szCs w:val="28"/>
        </w:rPr>
        <w:t>;</w:t>
      </w:r>
    </w:p>
    <w:p w:rsidR="002A0BED" w:rsidRDefault="002A0BE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331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Порядок и сроки проведения промежуточной и итоговой аттестации утверждаются приказом директора. </w:t>
      </w:r>
    </w:p>
    <w:p w:rsidR="002A0BED" w:rsidRDefault="002A0BE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331D4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График, порядок и формы проведения промежуточной аттестации доводится до сведения спортсменов не позднее, чем за 2 недели до начала аттестации. </w:t>
      </w:r>
    </w:p>
    <w:p w:rsidR="002A0BED" w:rsidRDefault="002A0BE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331D4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0400CD">
        <w:rPr>
          <w:color w:val="auto"/>
          <w:sz w:val="28"/>
          <w:szCs w:val="28"/>
        </w:rPr>
        <w:t>При проведении промежуточной аттестации учитываются</w:t>
      </w:r>
      <w:r>
        <w:rPr>
          <w:color w:val="auto"/>
          <w:sz w:val="28"/>
          <w:szCs w:val="28"/>
        </w:rPr>
        <w:t xml:space="preserve">: 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-спортивная подготовленность</w:t>
      </w:r>
      <w:r w:rsidR="000400CD">
        <w:rPr>
          <w:color w:val="auto"/>
          <w:sz w:val="28"/>
          <w:szCs w:val="28"/>
        </w:rPr>
        <w:t xml:space="preserve"> спортсмена</w:t>
      </w:r>
      <w:r>
        <w:rPr>
          <w:color w:val="auto"/>
          <w:sz w:val="28"/>
          <w:szCs w:val="28"/>
        </w:rPr>
        <w:t xml:space="preserve"> (присвоенный разряд); 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B23B24">
        <w:rPr>
          <w:color w:val="auto"/>
          <w:sz w:val="28"/>
          <w:szCs w:val="28"/>
        </w:rPr>
        <w:t>результаты</w:t>
      </w:r>
      <w:r>
        <w:rPr>
          <w:color w:val="auto"/>
          <w:sz w:val="28"/>
          <w:szCs w:val="28"/>
        </w:rPr>
        <w:t xml:space="preserve"> внутришкольных, городских, областных и всероссийских </w:t>
      </w:r>
    </w:p>
    <w:p w:rsidR="002A0BED" w:rsidRDefault="002A0BED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соревнований</w:t>
      </w:r>
      <w:r w:rsidR="00B23B24">
        <w:rPr>
          <w:color w:val="auto"/>
          <w:sz w:val="28"/>
          <w:szCs w:val="28"/>
        </w:rPr>
        <w:t xml:space="preserve"> (по протоколам соревнований);</w:t>
      </w:r>
    </w:p>
    <w:p w:rsidR="00B23B24" w:rsidRDefault="00B23B24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-количество проведенных соревнований;</w:t>
      </w:r>
    </w:p>
    <w:p w:rsidR="002A0BED" w:rsidRDefault="00B23B24" w:rsidP="001743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-результаты выполнения контрольных (</w:t>
      </w:r>
      <w:r w:rsidR="002A0BED">
        <w:rPr>
          <w:color w:val="auto"/>
          <w:sz w:val="28"/>
          <w:szCs w:val="28"/>
        </w:rPr>
        <w:t>контрольно-переводны</w:t>
      </w:r>
      <w:r>
        <w:rPr>
          <w:color w:val="auto"/>
          <w:sz w:val="28"/>
          <w:szCs w:val="28"/>
        </w:rPr>
        <w:t>х</w:t>
      </w:r>
      <w:r w:rsidR="002A0BED">
        <w:rPr>
          <w:color w:val="auto"/>
          <w:sz w:val="28"/>
          <w:szCs w:val="28"/>
        </w:rPr>
        <w:t xml:space="preserve"> норматив</w:t>
      </w:r>
      <w:r>
        <w:rPr>
          <w:color w:val="auto"/>
          <w:sz w:val="28"/>
          <w:szCs w:val="28"/>
        </w:rPr>
        <w:t>ов);</w:t>
      </w:r>
      <w:r w:rsidR="002A0BED">
        <w:rPr>
          <w:color w:val="auto"/>
          <w:sz w:val="28"/>
          <w:szCs w:val="28"/>
        </w:rPr>
        <w:t xml:space="preserve"> </w:t>
      </w:r>
    </w:p>
    <w:p w:rsidR="002A0BED" w:rsidRDefault="002A0BE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331D4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Для проведения аттестации тренер готовит: спортивный инвентарь, место проведения, протокол участия спортсменов в контрольных испытаниях. </w:t>
      </w:r>
    </w:p>
    <w:p w:rsidR="002A0BED" w:rsidRDefault="002A0BED" w:rsidP="000400CD">
      <w:pPr>
        <w:pStyle w:val="Default"/>
        <w:ind w:firstLine="708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4.</w:t>
      </w:r>
      <w:r w:rsidR="005331D4">
        <w:rPr>
          <w:color w:val="auto"/>
          <w:sz w:val="27"/>
          <w:szCs w:val="27"/>
        </w:rPr>
        <w:t>8</w:t>
      </w:r>
      <w:r>
        <w:rPr>
          <w:color w:val="auto"/>
          <w:sz w:val="27"/>
          <w:szCs w:val="27"/>
        </w:rPr>
        <w:t>. Комиссия осуществляет свою деятельность в период приема контрольных испытаний у спортсменов. Комиссия принимает решение о положительной или отрицательной сдаче контрольных нормативов спортсменом. Испытания, принимаемые у спортсменов, оформляются протоколами, которые хранятся в делах учреждения. Протокол</w:t>
      </w:r>
      <w:r w:rsidR="000400CD">
        <w:rPr>
          <w:color w:val="auto"/>
          <w:sz w:val="27"/>
          <w:szCs w:val="27"/>
        </w:rPr>
        <w:t>ы</w:t>
      </w:r>
      <w:r>
        <w:rPr>
          <w:color w:val="auto"/>
          <w:sz w:val="27"/>
          <w:szCs w:val="27"/>
        </w:rPr>
        <w:t xml:space="preserve"> после подписания его членами комиссии предоставляется на утверждение директору, и служ</w:t>
      </w:r>
      <w:r w:rsidR="000400CD">
        <w:rPr>
          <w:color w:val="auto"/>
          <w:sz w:val="27"/>
          <w:szCs w:val="27"/>
        </w:rPr>
        <w:t>а</w:t>
      </w:r>
      <w:r>
        <w:rPr>
          <w:color w:val="auto"/>
          <w:sz w:val="27"/>
          <w:szCs w:val="27"/>
        </w:rPr>
        <w:t xml:space="preserve">т основанием для приказа о переводе спортсмена на следующий год (этап) спортивной подготовки. </w:t>
      </w:r>
    </w:p>
    <w:p w:rsidR="000400CD" w:rsidRDefault="000400C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01119" w:rsidRDefault="00201119" w:rsidP="000400C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01119" w:rsidRDefault="00201119" w:rsidP="000400C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01119" w:rsidRDefault="00201119" w:rsidP="000400C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400CD" w:rsidRDefault="000400CD" w:rsidP="000400C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0400CD">
        <w:rPr>
          <w:b/>
          <w:color w:val="auto"/>
          <w:sz w:val="28"/>
          <w:szCs w:val="28"/>
        </w:rPr>
        <w:lastRenderedPageBreak/>
        <w:t>5. Оценка оформление и анализ результатов аттестации</w:t>
      </w:r>
    </w:p>
    <w:p w:rsidR="000400CD" w:rsidRPr="000400CD" w:rsidRDefault="000400CD" w:rsidP="000400C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2A0BED" w:rsidRDefault="000400CD" w:rsidP="000400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</w:t>
      </w:r>
      <w:r w:rsidR="000F190D">
        <w:rPr>
          <w:color w:val="auto"/>
          <w:sz w:val="28"/>
          <w:szCs w:val="28"/>
        </w:rPr>
        <w:t xml:space="preserve"> </w:t>
      </w:r>
      <w:r w:rsidR="002A0BED">
        <w:rPr>
          <w:color w:val="auto"/>
          <w:sz w:val="28"/>
          <w:szCs w:val="28"/>
        </w:rPr>
        <w:t>Оценка показателей промежуточной (итоговой) аттестации проводится в соответствии с контрольно-переводными нормативами по видам спорта</w:t>
      </w:r>
      <w:r>
        <w:rPr>
          <w:color w:val="auto"/>
          <w:sz w:val="28"/>
          <w:szCs w:val="28"/>
        </w:rPr>
        <w:t xml:space="preserve">, </w:t>
      </w:r>
      <w:r w:rsidR="002A0BED">
        <w:rPr>
          <w:color w:val="auto"/>
          <w:sz w:val="28"/>
          <w:szCs w:val="28"/>
        </w:rPr>
        <w:t xml:space="preserve">в соответствии с этапами (периодами) спортивной подготовки на основании программ спортивной подготовки по видам спорта. </w:t>
      </w:r>
    </w:p>
    <w:p w:rsidR="000400CD" w:rsidRDefault="000400CD" w:rsidP="0017435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0400CD">
        <w:rPr>
          <w:bCs/>
          <w:color w:val="auto"/>
          <w:sz w:val="28"/>
          <w:szCs w:val="28"/>
        </w:rPr>
        <w:t xml:space="preserve">5.2 </w:t>
      </w:r>
      <w:r w:rsidR="000F190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Результаты промежуточной (итоговой) аттестации лиц, проходящих спортивную подготовку анализируются по следующим параметрам:</w:t>
      </w:r>
    </w:p>
    <w:p w:rsidR="000400CD" w:rsidRDefault="00B23B24" w:rsidP="0017435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-количество спортсменов, выполнивших нормативные требования;</w:t>
      </w:r>
    </w:p>
    <w:p w:rsidR="00B23B24" w:rsidRDefault="00B23B24" w:rsidP="00B23B24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-количество спортсменов, не выполнивших нормативные требования;</w:t>
      </w:r>
    </w:p>
    <w:p w:rsidR="00B23B24" w:rsidRDefault="00B23B24" w:rsidP="00B23B24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-количество спортсменов, переведенных на следующий этап подготовки;</w:t>
      </w:r>
    </w:p>
    <w:p w:rsidR="00B23B24" w:rsidRDefault="00B23B24" w:rsidP="00B23B24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-количество спортсменов, не переведенных на следующий этап подготовки;</w:t>
      </w:r>
    </w:p>
    <w:p w:rsidR="00B23B24" w:rsidRDefault="00B23B24" w:rsidP="00B23B24">
      <w:pPr>
        <w:pStyle w:val="Default"/>
        <w:ind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анализе указываются причины невыполнения или показания низкого уровня освоения программ спортивной подготовки, даются рекомендации по корректировке тренировочного процесса.</w:t>
      </w:r>
    </w:p>
    <w:p w:rsidR="00B23B24" w:rsidRPr="000400CD" w:rsidRDefault="00B23B24" w:rsidP="0017435E">
      <w:pPr>
        <w:pStyle w:val="Default"/>
        <w:jc w:val="both"/>
        <w:rPr>
          <w:bCs/>
          <w:color w:val="auto"/>
          <w:sz w:val="28"/>
          <w:szCs w:val="28"/>
        </w:rPr>
      </w:pPr>
    </w:p>
    <w:p w:rsidR="000400CD" w:rsidRDefault="000400CD" w:rsidP="0017435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A0BED" w:rsidRDefault="000F190D" w:rsidP="000400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2A0BED">
        <w:rPr>
          <w:b/>
          <w:bCs/>
          <w:color w:val="auto"/>
          <w:sz w:val="28"/>
          <w:szCs w:val="28"/>
        </w:rPr>
        <w:t>. Документация промежуточной (итоговой) аттестации</w:t>
      </w:r>
    </w:p>
    <w:p w:rsidR="000F190D" w:rsidRDefault="000F190D" w:rsidP="000400CD">
      <w:pPr>
        <w:pStyle w:val="Default"/>
        <w:jc w:val="center"/>
        <w:rPr>
          <w:color w:val="auto"/>
          <w:sz w:val="28"/>
          <w:szCs w:val="28"/>
        </w:rPr>
      </w:pPr>
    </w:p>
    <w:p w:rsidR="002A0BED" w:rsidRDefault="000F190D" w:rsidP="001743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0BED" w:rsidRPr="000F190D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>Основным</w:t>
      </w:r>
      <w:r w:rsidR="00C2147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 w:rsidR="00C21474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промежуточной (итоговой) аттестации явля</w:t>
      </w:r>
      <w:r w:rsidR="00C2147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тся протокол</w:t>
      </w:r>
      <w:r w:rsidR="00C2147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сдачи контрольных (контрольно-переводных</w:t>
      </w:r>
      <w:r w:rsidR="00C21474">
        <w:rPr>
          <w:rFonts w:ascii="Times New Roman" w:hAnsi="Times New Roman" w:cs="Times New Roman"/>
          <w:bCs/>
          <w:sz w:val="28"/>
          <w:szCs w:val="28"/>
        </w:rPr>
        <w:t xml:space="preserve"> нормативов) </w:t>
      </w:r>
      <w:r w:rsidR="00C21474" w:rsidRPr="003D4B2D">
        <w:rPr>
          <w:rFonts w:ascii="Times New Roman" w:hAnsi="Times New Roman" w:cs="Times New Roman"/>
          <w:bCs/>
          <w:sz w:val="24"/>
          <w:szCs w:val="28"/>
        </w:rPr>
        <w:t xml:space="preserve">см. Приложение № 1 </w:t>
      </w:r>
      <w:r w:rsidR="00C21474">
        <w:rPr>
          <w:rFonts w:ascii="Times New Roman" w:hAnsi="Times New Roman" w:cs="Times New Roman"/>
          <w:bCs/>
          <w:sz w:val="28"/>
          <w:szCs w:val="28"/>
        </w:rPr>
        <w:t>и анализ сдачи промежуточной и итоговой аттестации по видам спорта;</w:t>
      </w:r>
    </w:p>
    <w:p w:rsidR="000F190D" w:rsidRDefault="000F190D" w:rsidP="001743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Протоколы проведения промежуточной (итоговой) аттестации</w:t>
      </w:r>
      <w:r w:rsidR="005331D4">
        <w:rPr>
          <w:rFonts w:ascii="Times New Roman" w:hAnsi="Times New Roman" w:cs="Times New Roman"/>
          <w:bCs/>
          <w:sz w:val="28"/>
          <w:szCs w:val="28"/>
        </w:rPr>
        <w:t xml:space="preserve"> подписываются всеми членами аттестационной</w:t>
      </w:r>
      <w:r w:rsidR="00201119">
        <w:rPr>
          <w:rFonts w:ascii="Times New Roman" w:hAnsi="Times New Roman" w:cs="Times New Roman"/>
          <w:bCs/>
          <w:sz w:val="28"/>
          <w:szCs w:val="28"/>
        </w:rPr>
        <w:t xml:space="preserve"> (приемной)</w:t>
      </w:r>
      <w:r w:rsidR="005331D4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201119">
        <w:rPr>
          <w:rFonts w:ascii="Times New Roman" w:hAnsi="Times New Roman" w:cs="Times New Roman"/>
          <w:bCs/>
          <w:sz w:val="28"/>
          <w:szCs w:val="28"/>
        </w:rPr>
        <w:t xml:space="preserve"> и хранят</w:t>
      </w:r>
      <w:r w:rsidR="00C21474">
        <w:rPr>
          <w:rFonts w:ascii="Times New Roman" w:hAnsi="Times New Roman" w:cs="Times New Roman"/>
          <w:bCs/>
          <w:sz w:val="28"/>
          <w:szCs w:val="28"/>
        </w:rPr>
        <w:t>ся в отделениях по видам спорта;</w:t>
      </w:r>
    </w:p>
    <w:p w:rsidR="00615769" w:rsidRDefault="00C21474" w:rsidP="003D4B2D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6.3. Анализ сдачи промежуточной (итоговой) аттестации</w:t>
      </w:r>
      <w:r w:rsidR="003D4B2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D4B2D" w:rsidRPr="003D4B2D">
        <w:rPr>
          <w:rFonts w:ascii="Times New Roman" w:hAnsi="Times New Roman" w:cs="Times New Roman"/>
          <w:bCs/>
          <w:sz w:val="24"/>
          <w:szCs w:val="28"/>
        </w:rPr>
        <w:t>см. Приложение № 2</w:t>
      </w:r>
      <w:r w:rsidR="003D4B2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подписывается заведующим отделени</w:t>
      </w:r>
      <w:r w:rsidR="003D4B2D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виду спорта, инструктором-методистом отвечающим за данный вид спорта</w:t>
      </w:r>
      <w:r w:rsidR="003D4B2D">
        <w:rPr>
          <w:rFonts w:ascii="Times New Roman" w:hAnsi="Times New Roman" w:cs="Times New Roman"/>
          <w:bCs/>
          <w:sz w:val="28"/>
          <w:szCs w:val="28"/>
        </w:rPr>
        <w:t xml:space="preserve"> (включая старшего)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храниться в отделениях по видам спорта вместе с протоколами.</w:t>
      </w: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</w:pPr>
    </w:p>
    <w:p w:rsidR="00615769" w:rsidRDefault="00615769" w:rsidP="0017435E">
      <w:pPr>
        <w:pStyle w:val="Default"/>
        <w:jc w:val="both"/>
        <w:rPr>
          <w:color w:val="auto"/>
        </w:rPr>
        <w:sectPr w:rsidR="00615769" w:rsidSect="00DB5D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BC7" w:rsidRPr="00A52BC7" w:rsidRDefault="00A52BC7" w:rsidP="00A52BC7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A52BC7">
        <w:rPr>
          <w:rFonts w:ascii="Times New Roman" w:hAnsi="Times New Roman"/>
          <w:sz w:val="18"/>
          <w:szCs w:val="24"/>
        </w:rPr>
        <w:lastRenderedPageBreak/>
        <w:t>Приложение № 1</w:t>
      </w:r>
    </w:p>
    <w:p w:rsidR="00A52BC7" w:rsidRPr="00A52BC7" w:rsidRDefault="00A52BC7" w:rsidP="00A52BC7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A52BC7">
        <w:rPr>
          <w:rFonts w:ascii="Times New Roman" w:hAnsi="Times New Roman"/>
          <w:sz w:val="18"/>
          <w:szCs w:val="24"/>
        </w:rPr>
        <w:t>к Положению о промежуточной и итоговой аттестации лиц,</w:t>
      </w:r>
    </w:p>
    <w:p w:rsidR="00A52BC7" w:rsidRPr="00A52BC7" w:rsidRDefault="00A52BC7" w:rsidP="00A52BC7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A52BC7">
        <w:rPr>
          <w:rFonts w:ascii="Times New Roman" w:hAnsi="Times New Roman"/>
          <w:sz w:val="18"/>
          <w:szCs w:val="24"/>
        </w:rPr>
        <w:t>проходящих спортивную подготовку в ГБУСО «СШОР «НГ»</w:t>
      </w:r>
    </w:p>
    <w:p w:rsidR="00A52BC7" w:rsidRDefault="00A52BC7" w:rsidP="00350B6E">
      <w:pPr>
        <w:spacing w:after="0"/>
        <w:jc w:val="center"/>
        <w:rPr>
          <w:rFonts w:ascii="Times New Roman" w:hAnsi="Times New Roman"/>
          <w:szCs w:val="24"/>
        </w:rPr>
      </w:pPr>
    </w:p>
    <w:p w:rsidR="00A52BC7" w:rsidRDefault="00A52BC7" w:rsidP="00350B6E">
      <w:pPr>
        <w:spacing w:after="0"/>
        <w:jc w:val="center"/>
        <w:rPr>
          <w:rFonts w:ascii="Times New Roman" w:hAnsi="Times New Roman"/>
          <w:szCs w:val="24"/>
        </w:rPr>
      </w:pPr>
    </w:p>
    <w:p w:rsidR="00350B6E" w:rsidRPr="00A52BC7" w:rsidRDefault="00350B6E" w:rsidP="00350B6E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A52BC7">
        <w:rPr>
          <w:rFonts w:ascii="Times New Roman" w:hAnsi="Times New Roman"/>
          <w:sz w:val="20"/>
          <w:szCs w:val="24"/>
        </w:rPr>
        <w:t>ГБУСО «Спортивная школа олимпийского резерва «Надежда Губернии»</w:t>
      </w:r>
    </w:p>
    <w:p w:rsidR="00C21474" w:rsidRDefault="00C21474" w:rsidP="00350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B6E" w:rsidRPr="00A52BC7" w:rsidRDefault="00350B6E" w:rsidP="00350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BC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50B6E" w:rsidRPr="00A52BC7" w:rsidRDefault="00350B6E" w:rsidP="00350B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BC7">
        <w:rPr>
          <w:rFonts w:ascii="Times New Roman" w:hAnsi="Times New Roman"/>
          <w:b/>
          <w:sz w:val="24"/>
          <w:szCs w:val="24"/>
          <w:u w:val="single"/>
        </w:rPr>
        <w:t>ПРОМЕЖУТОЧНОЙ (ИТОГОВОЙ)</w:t>
      </w:r>
      <w:r w:rsidRPr="00A52BC7">
        <w:rPr>
          <w:rFonts w:ascii="Times New Roman" w:hAnsi="Times New Roman"/>
          <w:b/>
          <w:sz w:val="24"/>
          <w:szCs w:val="24"/>
        </w:rPr>
        <w:t xml:space="preserve"> АТТЕСТАЦИИ по ОФП (СФП)</w:t>
      </w:r>
    </w:p>
    <w:p w:rsidR="00350B6E" w:rsidRPr="00A52BC7" w:rsidRDefault="00350B6E" w:rsidP="00350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BC7">
        <w:rPr>
          <w:rFonts w:ascii="Times New Roman" w:hAnsi="Times New Roman"/>
          <w:b/>
          <w:sz w:val="24"/>
          <w:szCs w:val="24"/>
        </w:rPr>
        <w:t xml:space="preserve">  лиц, проходящих спортивную подготовку по  виду спорта _______________________</w:t>
      </w:r>
    </w:p>
    <w:p w:rsidR="00350B6E" w:rsidRPr="00A52BC7" w:rsidRDefault="00350B6E" w:rsidP="00350B6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52BC7">
        <w:rPr>
          <w:rFonts w:ascii="Times New Roman" w:hAnsi="Times New Roman"/>
          <w:sz w:val="24"/>
          <w:szCs w:val="24"/>
        </w:rPr>
        <w:t>группа</w:t>
      </w:r>
      <w:r w:rsidR="00C21474" w:rsidRPr="00A52BC7">
        <w:rPr>
          <w:rFonts w:ascii="Times New Roman" w:hAnsi="Times New Roman"/>
          <w:sz w:val="24"/>
          <w:szCs w:val="24"/>
        </w:rPr>
        <w:t>/</w:t>
      </w:r>
      <w:r w:rsidR="00C21474">
        <w:rPr>
          <w:rFonts w:ascii="Times New Roman" w:hAnsi="Times New Roman"/>
          <w:sz w:val="24"/>
          <w:szCs w:val="24"/>
        </w:rPr>
        <w:t>(</w:t>
      </w:r>
      <w:r w:rsidR="00C21474" w:rsidRPr="00A52BC7">
        <w:rPr>
          <w:rFonts w:ascii="Times New Roman" w:hAnsi="Times New Roman"/>
          <w:sz w:val="24"/>
          <w:szCs w:val="24"/>
        </w:rPr>
        <w:t>этап</w:t>
      </w:r>
      <w:r w:rsidR="00C21474">
        <w:rPr>
          <w:rFonts w:ascii="Times New Roman" w:hAnsi="Times New Roman"/>
          <w:sz w:val="24"/>
          <w:szCs w:val="24"/>
        </w:rPr>
        <w:t>)</w:t>
      </w:r>
      <w:r w:rsidR="00C21474" w:rsidRPr="00C21474">
        <w:rPr>
          <w:rFonts w:ascii="Times New Roman" w:hAnsi="Times New Roman"/>
          <w:sz w:val="24"/>
          <w:szCs w:val="24"/>
        </w:rPr>
        <w:t>_________________</w:t>
      </w:r>
      <w:r w:rsidRPr="00A52BC7">
        <w:rPr>
          <w:rFonts w:ascii="Times New Roman" w:hAnsi="Times New Roman"/>
          <w:sz w:val="24"/>
          <w:szCs w:val="24"/>
        </w:rPr>
        <w:t xml:space="preserve">    тренер: </w:t>
      </w:r>
      <w:r w:rsidR="00C21474">
        <w:rPr>
          <w:rFonts w:ascii="Times New Roman" w:hAnsi="Times New Roman"/>
          <w:sz w:val="24"/>
          <w:szCs w:val="24"/>
        </w:rPr>
        <w:t>______________________</w:t>
      </w:r>
    </w:p>
    <w:p w:rsidR="00350B6E" w:rsidRPr="00707EAF" w:rsidRDefault="00350B6E" w:rsidP="00350B6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50B6E" w:rsidRPr="004176D7" w:rsidRDefault="00350B6E" w:rsidP="00350B6E">
      <w:pPr>
        <w:rPr>
          <w:rFonts w:ascii="Times New Roman" w:hAnsi="Times New Roman"/>
          <w:sz w:val="24"/>
          <w:szCs w:val="24"/>
        </w:rPr>
      </w:pPr>
      <w:r w:rsidRPr="00AD7DE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«____» _______________ </w:t>
      </w:r>
      <w:r w:rsidRPr="00350B6E">
        <w:rPr>
          <w:rFonts w:ascii="Times New Roman" w:hAnsi="Times New Roman"/>
          <w:sz w:val="24"/>
          <w:szCs w:val="24"/>
        </w:rPr>
        <w:t>20</w:t>
      </w:r>
      <w:r w:rsidR="00A52BC7">
        <w:rPr>
          <w:rFonts w:ascii="Times New Roman" w:hAnsi="Times New Roman"/>
          <w:sz w:val="24"/>
          <w:szCs w:val="24"/>
        </w:rPr>
        <w:t>___</w:t>
      </w:r>
      <w:r w:rsidRPr="00350B6E">
        <w:rPr>
          <w:rFonts w:ascii="Times New Roman" w:hAnsi="Times New Roman"/>
          <w:sz w:val="24"/>
          <w:szCs w:val="24"/>
        </w:rPr>
        <w:t xml:space="preserve"> г.</w:t>
      </w:r>
      <w:r w:rsidRPr="00350B6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992"/>
        <w:gridCol w:w="850"/>
        <w:gridCol w:w="1016"/>
        <w:gridCol w:w="1200"/>
        <w:gridCol w:w="1200"/>
        <w:gridCol w:w="1200"/>
        <w:gridCol w:w="1200"/>
        <w:gridCol w:w="1200"/>
        <w:gridCol w:w="1200"/>
        <w:gridCol w:w="1200"/>
        <w:gridCol w:w="1499"/>
      </w:tblGrid>
      <w:tr w:rsidR="00C21474" w:rsidRPr="004176D7" w:rsidTr="00C21474">
        <w:trPr>
          <w:cantSplit/>
          <w:trHeight w:val="1692"/>
        </w:trPr>
        <w:tc>
          <w:tcPr>
            <w:tcW w:w="534" w:type="dxa"/>
            <w:vAlign w:val="center"/>
          </w:tcPr>
          <w:p w:rsidR="00C21474" w:rsidRPr="00350B6E" w:rsidRDefault="00C21474" w:rsidP="007C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350B6E">
              <w:rPr>
                <w:rFonts w:ascii="Times New Roman" w:hAnsi="Times New Roman"/>
                <w:b/>
                <w:sz w:val="1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21474" w:rsidRPr="00350B6E" w:rsidRDefault="00C21474" w:rsidP="007C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:rsidR="00C21474" w:rsidRPr="00350B6E" w:rsidRDefault="00C21474" w:rsidP="007C6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год рожд.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21474" w:rsidRPr="00350B6E" w:rsidRDefault="00C21474" w:rsidP="007C62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textDirection w:val="btLr"/>
            <w:vAlign w:val="center"/>
          </w:tcPr>
          <w:p w:rsidR="00C21474" w:rsidRPr="00350B6E" w:rsidRDefault="00C21474" w:rsidP="00350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textDirection w:val="btLr"/>
          </w:tcPr>
          <w:p w:rsidR="00C21474" w:rsidRDefault="00C21474" w:rsidP="00C21474">
            <w:pPr>
              <w:ind w:left="113" w:right="113"/>
              <w:jc w:val="center"/>
            </w:pPr>
            <w:r w:rsidRPr="00FE7E96">
              <w:rPr>
                <w:rFonts w:ascii="Times New Roman" w:hAnsi="Times New Roman"/>
                <w:sz w:val="20"/>
                <w:szCs w:val="20"/>
              </w:rPr>
              <w:t>Название аттестационного норматива</w:t>
            </w:r>
          </w:p>
        </w:tc>
        <w:tc>
          <w:tcPr>
            <w:tcW w:w="1499" w:type="dxa"/>
            <w:textDirection w:val="btLr"/>
            <w:vAlign w:val="center"/>
          </w:tcPr>
          <w:p w:rsidR="00C21474" w:rsidRPr="00350B6E" w:rsidRDefault="00C21474" w:rsidP="007C628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50B6E">
              <w:rPr>
                <w:rFonts w:ascii="Times New Roman" w:hAnsi="Times New Roman"/>
                <w:b/>
                <w:sz w:val="20"/>
                <w:szCs w:val="20"/>
              </w:rPr>
              <w:t>Зачет (незачет)</w:t>
            </w:r>
          </w:p>
        </w:tc>
      </w:tr>
      <w:tr w:rsidR="00350B6E" w:rsidRPr="004176D7" w:rsidTr="00C21474">
        <w:trPr>
          <w:trHeight w:val="267"/>
        </w:trPr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0B6E" w:rsidRPr="004176D7" w:rsidTr="00350B6E">
        <w:tc>
          <w:tcPr>
            <w:tcW w:w="534" w:type="dxa"/>
            <w:vAlign w:val="center"/>
          </w:tcPr>
          <w:p w:rsidR="00350B6E" w:rsidRPr="005A423E" w:rsidRDefault="00350B6E" w:rsidP="007C62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0B6E" w:rsidRPr="00CA0319" w:rsidRDefault="00350B6E" w:rsidP="007C628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0B6E" w:rsidRPr="00CA0319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B6E" w:rsidRPr="00D91B41" w:rsidRDefault="00350B6E" w:rsidP="007C62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  <w:vAlign w:val="center"/>
          </w:tcPr>
          <w:p w:rsidR="00350B6E" w:rsidRPr="004176D7" w:rsidRDefault="00350B6E" w:rsidP="007C62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0B6E" w:rsidRPr="004176D7" w:rsidRDefault="00350B6E" w:rsidP="00350B6E">
      <w:pPr>
        <w:spacing w:line="240" w:lineRule="auto"/>
        <w:rPr>
          <w:rFonts w:ascii="Times New Roman" w:hAnsi="Times New Roman"/>
          <w:b/>
          <w:sz w:val="6"/>
          <w:szCs w:val="6"/>
        </w:rPr>
      </w:pPr>
    </w:p>
    <w:p w:rsidR="00350B6E" w:rsidRPr="00EC796D" w:rsidRDefault="00A52BC7" w:rsidP="00A52B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(зам. директора)</w:t>
      </w:r>
      <w:r w:rsidR="00350B6E">
        <w:rPr>
          <w:rFonts w:ascii="Times New Roman" w:hAnsi="Times New Roman"/>
          <w:b/>
        </w:rPr>
        <w:t xml:space="preserve"> </w:t>
      </w:r>
      <w:r w:rsidR="00350B6E" w:rsidRPr="00EC796D">
        <w:rPr>
          <w:rFonts w:ascii="Times New Roman" w:hAnsi="Times New Roman"/>
          <w:b/>
        </w:rPr>
        <w:t xml:space="preserve">__________________ </w:t>
      </w:r>
      <w:r w:rsidR="00350B6E" w:rsidRPr="00EC796D">
        <w:rPr>
          <w:rFonts w:ascii="Times New Roman" w:hAnsi="Times New Roman"/>
          <w:b/>
        </w:rPr>
        <w:tab/>
      </w:r>
      <w:r w:rsidR="00350B6E">
        <w:rPr>
          <w:rFonts w:ascii="Times New Roman" w:hAnsi="Times New Roman"/>
          <w:b/>
        </w:rPr>
        <w:t xml:space="preserve"> </w:t>
      </w:r>
      <w:r w:rsidR="00350B6E" w:rsidRPr="00EC796D">
        <w:rPr>
          <w:rFonts w:ascii="Times New Roman" w:hAnsi="Times New Roman"/>
          <w:b/>
        </w:rPr>
        <w:t>/</w:t>
      </w:r>
      <w:r w:rsidR="007E3B14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</w:t>
      </w:r>
      <w:r w:rsidR="007E3B14">
        <w:rPr>
          <w:rFonts w:ascii="Times New Roman" w:hAnsi="Times New Roman"/>
          <w:b/>
        </w:rPr>
        <w:t xml:space="preserve"> </w:t>
      </w:r>
      <w:r w:rsidR="007E3B14" w:rsidRPr="00EC796D">
        <w:rPr>
          <w:rFonts w:ascii="Times New Roman" w:hAnsi="Times New Roman"/>
          <w:b/>
        </w:rPr>
        <w:t xml:space="preserve"> </w:t>
      </w:r>
      <w:r w:rsidR="00350B6E" w:rsidRPr="00EC796D">
        <w:rPr>
          <w:rFonts w:ascii="Times New Roman" w:hAnsi="Times New Roman"/>
          <w:b/>
        </w:rPr>
        <w:t>/</w:t>
      </w:r>
      <w:r w:rsidR="00350B6E" w:rsidRPr="00EC796D">
        <w:rPr>
          <w:rFonts w:ascii="Times New Roman" w:hAnsi="Times New Roman"/>
          <w:b/>
        </w:rPr>
        <w:tab/>
      </w:r>
      <w:r w:rsidR="00350B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</w:t>
      </w:r>
      <w:r w:rsidR="00350B6E" w:rsidRPr="00EC796D">
        <w:rPr>
          <w:rFonts w:ascii="Times New Roman" w:hAnsi="Times New Roman"/>
          <w:b/>
        </w:rPr>
        <w:t>Ст. тренер ________________</w:t>
      </w:r>
      <w:r w:rsidR="00350B6E">
        <w:rPr>
          <w:rFonts w:ascii="Times New Roman" w:hAnsi="Times New Roman"/>
          <w:b/>
        </w:rPr>
        <w:t>__  /</w:t>
      </w:r>
      <w:r w:rsidR="007E3B14">
        <w:rPr>
          <w:rFonts w:ascii="Times New Roman" w:hAnsi="Times New Roman"/>
          <w:b/>
        </w:rPr>
        <w:t xml:space="preserve">                             </w:t>
      </w:r>
      <w:r w:rsidR="00350B6E" w:rsidRPr="00EC796D">
        <w:rPr>
          <w:rFonts w:ascii="Times New Roman" w:hAnsi="Times New Roman"/>
          <w:b/>
        </w:rPr>
        <w:t>/</w:t>
      </w:r>
    </w:p>
    <w:p w:rsidR="003D4B2D" w:rsidRDefault="00A52BC7" w:rsidP="00A52B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отделением   </w:t>
      </w:r>
      <w:r w:rsidR="00350B6E" w:rsidRPr="00EC796D">
        <w:rPr>
          <w:rFonts w:ascii="Times New Roman" w:hAnsi="Times New Roman"/>
          <w:b/>
        </w:rPr>
        <w:t>_____</w:t>
      </w:r>
      <w:r w:rsidR="007E3B14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 xml:space="preserve">  </w:t>
      </w:r>
      <w:r w:rsidR="00350B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="00350B6E" w:rsidRPr="00EC796D">
        <w:rPr>
          <w:rFonts w:ascii="Times New Roman" w:hAnsi="Times New Roman"/>
          <w:b/>
        </w:rPr>
        <w:t>/</w:t>
      </w:r>
      <w:r w:rsidR="007E3B14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</w:t>
      </w:r>
      <w:r w:rsidR="007E3B14">
        <w:rPr>
          <w:rFonts w:ascii="Times New Roman" w:hAnsi="Times New Roman"/>
          <w:b/>
        </w:rPr>
        <w:t xml:space="preserve">    </w:t>
      </w:r>
      <w:r w:rsidR="007E3B14" w:rsidRPr="00EC796D">
        <w:rPr>
          <w:rFonts w:ascii="Times New Roman" w:hAnsi="Times New Roman"/>
          <w:b/>
        </w:rPr>
        <w:t xml:space="preserve"> </w:t>
      </w:r>
      <w:r w:rsidR="00350B6E" w:rsidRPr="00EC796D">
        <w:rPr>
          <w:rFonts w:ascii="Times New Roman" w:hAnsi="Times New Roman"/>
          <w:b/>
        </w:rPr>
        <w:t>/</w:t>
      </w:r>
      <w:r w:rsidR="00350B6E" w:rsidRPr="00EC796D">
        <w:rPr>
          <w:rFonts w:ascii="Times New Roman" w:hAnsi="Times New Roman"/>
          <w:b/>
        </w:rPr>
        <w:tab/>
      </w:r>
      <w:r w:rsidR="00350B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Тренер   ____________________ /                              /               </w:t>
      </w:r>
      <w:r w:rsidRPr="00EC796D">
        <w:rPr>
          <w:rFonts w:ascii="Times New Roman" w:hAnsi="Times New Roman"/>
          <w:b/>
        </w:rPr>
        <w:t>Инструктор-методист</w:t>
      </w:r>
      <w:r>
        <w:rPr>
          <w:rFonts w:ascii="Times New Roman" w:hAnsi="Times New Roman"/>
          <w:b/>
        </w:rPr>
        <w:t xml:space="preserve">       __________________      /                                </w:t>
      </w:r>
      <w:r w:rsidRPr="00EC796D">
        <w:rPr>
          <w:rFonts w:ascii="Times New Roman" w:hAnsi="Times New Roman"/>
          <w:b/>
        </w:rPr>
        <w:t>/</w:t>
      </w:r>
    </w:p>
    <w:p w:rsidR="003D4B2D" w:rsidRDefault="003D4B2D" w:rsidP="00A52BC7">
      <w:pPr>
        <w:spacing w:after="0" w:line="240" w:lineRule="auto"/>
        <w:rPr>
          <w:rFonts w:ascii="Times New Roman" w:hAnsi="Times New Roman"/>
          <w:b/>
        </w:rPr>
      </w:pPr>
    </w:p>
    <w:p w:rsidR="003D4B2D" w:rsidRDefault="003D4B2D" w:rsidP="00A52BC7">
      <w:pPr>
        <w:spacing w:after="0" w:line="240" w:lineRule="auto"/>
        <w:rPr>
          <w:rFonts w:ascii="Times New Roman" w:hAnsi="Times New Roman"/>
          <w:b/>
        </w:rPr>
      </w:pPr>
    </w:p>
    <w:p w:rsidR="003D4B2D" w:rsidRDefault="003D4B2D" w:rsidP="00A52BC7">
      <w:pPr>
        <w:spacing w:after="0" w:line="240" w:lineRule="auto"/>
        <w:rPr>
          <w:rFonts w:ascii="Times New Roman" w:hAnsi="Times New Roman"/>
          <w:b/>
        </w:rPr>
      </w:pPr>
    </w:p>
    <w:p w:rsidR="00615769" w:rsidRPr="00350B6E" w:rsidRDefault="00A52BC7" w:rsidP="00A52BC7">
      <w:pPr>
        <w:spacing w:after="0" w:line="240" w:lineRule="auto"/>
      </w:pPr>
      <w:r>
        <w:rPr>
          <w:rFonts w:ascii="Times New Roman" w:hAnsi="Times New Roman"/>
          <w:b/>
        </w:rPr>
        <w:t xml:space="preserve">      </w:t>
      </w:r>
    </w:p>
    <w:sectPr w:rsidR="00615769" w:rsidRPr="00350B6E" w:rsidSect="00C2147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0B" w:rsidRDefault="00BB0A0B" w:rsidP="00A52BC7">
      <w:pPr>
        <w:spacing w:after="0" w:line="240" w:lineRule="auto"/>
      </w:pPr>
      <w:r>
        <w:separator/>
      </w:r>
    </w:p>
  </w:endnote>
  <w:endnote w:type="continuationSeparator" w:id="0">
    <w:p w:rsidR="00BB0A0B" w:rsidRDefault="00BB0A0B" w:rsidP="00A5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0B" w:rsidRDefault="00BB0A0B" w:rsidP="00A52BC7">
      <w:pPr>
        <w:spacing w:after="0" w:line="240" w:lineRule="auto"/>
      </w:pPr>
      <w:r>
        <w:separator/>
      </w:r>
    </w:p>
  </w:footnote>
  <w:footnote w:type="continuationSeparator" w:id="0">
    <w:p w:rsidR="00BB0A0B" w:rsidRDefault="00BB0A0B" w:rsidP="00A5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ED"/>
    <w:rsid w:val="000400CD"/>
    <w:rsid w:val="000C38C7"/>
    <w:rsid w:val="000F190D"/>
    <w:rsid w:val="00140387"/>
    <w:rsid w:val="0017435E"/>
    <w:rsid w:val="00201119"/>
    <w:rsid w:val="00236060"/>
    <w:rsid w:val="00256BB8"/>
    <w:rsid w:val="002628FB"/>
    <w:rsid w:val="002A0BED"/>
    <w:rsid w:val="00350B6E"/>
    <w:rsid w:val="003D4B2D"/>
    <w:rsid w:val="00532668"/>
    <w:rsid w:val="005331D4"/>
    <w:rsid w:val="00615769"/>
    <w:rsid w:val="007E3B14"/>
    <w:rsid w:val="00A52BC7"/>
    <w:rsid w:val="00B23B24"/>
    <w:rsid w:val="00BB0A0B"/>
    <w:rsid w:val="00C21474"/>
    <w:rsid w:val="00DB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BC7"/>
  </w:style>
  <w:style w:type="paragraph" w:styleId="a6">
    <w:name w:val="footer"/>
    <w:basedOn w:val="a"/>
    <w:link w:val="a7"/>
    <w:uiPriority w:val="99"/>
    <w:semiHidden/>
    <w:unhideWhenUsed/>
    <w:rsid w:val="00A5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04D0-8AC3-48A4-8E6C-17C42E8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kadroff</dc:creator>
  <cp:keywords/>
  <dc:description/>
  <cp:lastModifiedBy>kadroff</cp:lastModifiedBy>
  <cp:revision>3</cp:revision>
  <dcterms:created xsi:type="dcterms:W3CDTF">2019-04-19T10:17:00Z</dcterms:created>
  <dcterms:modified xsi:type="dcterms:W3CDTF">2019-04-23T11:54:00Z</dcterms:modified>
</cp:coreProperties>
</file>